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33"/>
        <w:gridCol w:w="7522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3930" w:right="-115" w:firstLine="142"/>
              <w:rPr>
                <w:b/>
              </w:rPr>
            </w:pPr>
            <w:r>
              <w:rPr>
                <w:b/>
              </w:rPr>
              <w:t xml:space="preserve">  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0" w:hanging="1456"/>
              <w:rPr>
                <w:color w:val="000000"/>
              </w:rPr>
            </w:pPr>
            <w:r>
              <w:rPr>
                <w:color w:val="000000"/>
              </w:rPr>
              <w:t xml:space="preserve">З</w:t>
            </w:r>
            <w:r>
              <w:rPr>
                <w:color w:val="000000"/>
              </w:rPr>
              <w:t xml:space="preserve">аместител</w:t>
            </w:r>
            <w:r>
              <w:rPr>
                <w:color w:val="000000"/>
              </w:rPr>
              <w:t xml:space="preserve">ь</w:t>
            </w:r>
            <w:r>
              <w:rPr>
                <w:color w:val="000000"/>
              </w:rPr>
              <w:t xml:space="preserve"> директора –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456"/>
              <w:rPr>
                <w:color w:val="000000"/>
              </w:rPr>
            </w:pPr>
            <w:r>
              <w:rPr>
                <w:color w:val="000000"/>
              </w:rPr>
              <w:t xml:space="preserve">главн</w:t>
            </w:r>
            <w:r>
              <w:rPr>
                <w:color w:val="000000"/>
              </w:rPr>
              <w:t xml:space="preserve">ый</w:t>
            </w:r>
            <w:r>
              <w:rPr>
                <w:color w:val="000000"/>
              </w:rPr>
              <w:t xml:space="preserve"> инженер филиала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456"/>
              <w:rPr>
                <w:color w:val="000000"/>
              </w:rPr>
            </w:pPr>
            <w:r>
              <w:rPr>
                <w:color w:val="000000"/>
              </w:rPr>
              <w:t xml:space="preserve">ПАО «Россети Урал» 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456"/>
              <w:rPr>
                <w:color w:val="000000"/>
              </w:rPr>
            </w:pP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Свердловэнерго»_</w:t>
            </w:r>
            <w:r>
              <w:rPr>
                <w:color w:val="000000"/>
              </w:rPr>
              <w:t xml:space="preserve">_________ 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651"/>
              <w:rPr>
                <w:color w:val="000000"/>
              </w:rPr>
            </w:pPr>
            <w:r>
              <w:rPr>
                <w:color w:val="000000"/>
              </w:rPr>
              <w:t xml:space="preserve">_________</w:t>
            </w:r>
            <w:r>
              <w:rPr>
                <w:color w:val="000000"/>
              </w:rPr>
              <w:t xml:space="preserve">_____   Е.А. Мальцев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                                                                       </w:t>
            </w:r>
            <w:r>
              <w:rPr>
                <w:color w:val="000000"/>
              </w:rPr>
              <w:t xml:space="preserve">« _</w:t>
            </w:r>
            <w:r>
              <w:rPr>
                <w:color w:val="000000"/>
              </w:rPr>
              <w:t xml:space="preserve">_ » ____________ 202</w:t>
            </w: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  <w:t xml:space="preserve"> г.</w:t>
            </w:r>
            <w:r/>
          </w:p>
          <w:p>
            <w:pPr>
              <w:jc w:val="right"/>
            </w:pPr>
            <w:r/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775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62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сравнения цен в электронной форме, участниками которог</w:t>
      </w:r>
      <w:r>
        <w:rPr>
          <w:b/>
          <w:sz w:val="28"/>
          <w:szCs w:val="28"/>
        </w:rPr>
        <w:t xml:space="preserve">о могут быть </w:t>
      </w:r>
      <w:r>
        <w:rPr>
          <w:b/>
          <w:sz w:val="28"/>
          <w:szCs w:val="28"/>
        </w:rPr>
        <w:t xml:space="preserve">только субъекты МСП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 право заключения </w:t>
      </w:r>
      <w:r>
        <w:rPr>
          <w:b/>
          <w:sz w:val="28"/>
          <w:szCs w:val="28"/>
        </w:rPr>
        <w:t xml:space="preserve">договора на 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казание услуг </w:t>
      </w:r>
      <w:r>
        <w:rPr>
          <w:b/>
          <w:sz w:val="28"/>
          <w:szCs w:val="28"/>
        </w:rPr>
        <w:t xml:space="preserve">по утилизации</w:t>
      </w:r>
      <w:r>
        <w:rPr>
          <w:b/>
          <w:sz w:val="28"/>
          <w:szCs w:val="28"/>
        </w:rPr>
        <w:t xml:space="preserve">  отходов</w:t>
      </w:r>
      <w:r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 xml:space="preserve">кл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опасности ( ветошь, фильтры) ПО Западные ЭС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2"/>
      </w:pPr>
      <w:r/>
      <w:r/>
    </w:p>
    <w:p>
      <w:pPr>
        <w:pStyle w:val="962"/>
      </w:pPr>
      <w:r/>
      <w:r/>
    </w:p>
    <w:p>
      <w:pPr>
        <w:pStyle w:val="962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775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  <w:t xml:space="preserve">сравнения цен</w:t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 </w:t>
      </w:r>
      <w:r>
        <w:rPr>
          <w:i w:val="0"/>
          <w:sz w:val="24"/>
          <w:szCs w:val="24"/>
        </w:rPr>
        <w:t xml:space="preserve">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pStyle w:val="962"/>
        <w:jc w:val="both"/>
        <w:tabs>
          <w:tab w:val="left" w:pos="709" w:leader="none"/>
        </w:tabs>
      </w:pPr>
      <w:r>
        <w:t xml:space="preserve">1.1. Право заключения договора на </w:t>
      </w:r>
      <w:r>
        <w:t xml:space="preserve">о</w:t>
      </w:r>
      <w:r>
        <w:t xml:space="preserve">казание услуг по </w:t>
      </w:r>
      <w:r>
        <w:t xml:space="preserve">утилизации</w:t>
      </w:r>
      <w:r>
        <w:t xml:space="preserve"> отходов 3 </w:t>
      </w:r>
      <w:r>
        <w:t xml:space="preserve">кл</w:t>
      </w:r>
      <w:r>
        <w:t xml:space="preserve">.</w:t>
      </w:r>
      <w:r>
        <w:t xml:space="preserve"> опасности</w:t>
      </w:r>
      <w:r>
        <w:t xml:space="preserve"> </w:t>
      </w:r>
      <w:r>
        <w:t xml:space="preserve">(ветошь, </w:t>
      </w:r>
      <w:r>
        <w:t xml:space="preserve">фильтры) </w:t>
      </w:r>
      <w:r>
        <w:t xml:space="preserve">для</w:t>
      </w:r>
      <w:r>
        <w:t xml:space="preserve"> </w:t>
      </w:r>
      <w:r>
        <w:t xml:space="preserve"> </w:t>
      </w:r>
      <w:r>
        <w:t xml:space="preserve"> ПО </w:t>
      </w:r>
      <w:r>
        <w:t xml:space="preserve">Западные </w:t>
      </w:r>
      <w:r>
        <w:t xml:space="preserve">ЭС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            </w:t>
      </w:r>
      <w:r>
        <w:t xml:space="preserve">План закупок 2026г.</w:t>
      </w:r>
      <w:r>
        <w:t xml:space="preserve">, закупка № </w:t>
      </w:r>
      <w:r>
        <w:t xml:space="preserve">58073</w:t>
      </w:r>
      <w:r>
        <w:t xml:space="preserve">, лот № 58073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ПАО «Россети Урал» (филиал «Свердловэнерго»).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работ/оказания услуг: 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ind w:left="45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  <w:highlight w:val="none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3969"/>
      </w:tblGrid>
      <w:tr>
        <w:tblPrEx/>
        <w:trPr/>
        <w:tc>
          <w:tcPr>
            <w:tcW w:w="54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r>
              <w:t xml:space="preserve">Наименование подразделений филиала ПАО «Россети Урал» - «Свердловэнерго»</w:t>
            </w:r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Адреса </w:t>
            </w:r>
            <w:r>
              <w:t xml:space="preserve">промплощадок</w:t>
            </w:r>
            <w:r/>
          </w:p>
        </w:tc>
      </w:tr>
      <w:tr>
        <w:tblPrEx/>
        <w:trPr/>
        <w:tc>
          <w:tcPr>
            <w:tcW w:w="54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Центральные ЭС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10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1003"/>
              <w:numPr>
                <w:ilvl w:val="0"/>
                <w:numId w:val="29"/>
              </w:numPr>
              <w:ind w:left="0" w:right="12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SimSun"/>
                <w:color w:val="000000"/>
                <w:spacing w:val="-1"/>
                <w:szCs w:val="28"/>
              </w:rPr>
            </w:pPr>
            <w:r>
              <w:rPr>
                <w:rFonts w:eastAsia="SimSun"/>
                <w:color w:val="000000"/>
                <w:spacing w:val="-1"/>
                <w:szCs w:val="28"/>
              </w:rPr>
              <w:t xml:space="preserve">ПО «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Западные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 электрические сети» филиала ПАО ««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Россети Урал» - «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Свердловэнего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»</w:t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SimSun"/>
                <w:color w:val="000000"/>
                <w:spacing w:val="-1"/>
                <w:szCs w:val="28"/>
              </w:rPr>
            </w:pPr>
            <w:r>
              <w:rPr>
                <w:rFonts w:eastAsia="SimSun"/>
                <w:color w:val="000000"/>
                <w:spacing w:val="-1"/>
                <w:szCs w:val="28"/>
              </w:rPr>
              <w:t xml:space="preserve">г. 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Екатеринбург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, 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пер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. 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Энергетиков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, 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7</w:t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работ/оказания услуг: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Начало – с момента заключения договора;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- 30.12.2026</w:t>
      </w:r>
      <w:r>
        <w:t xml:space="preserve">.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1239"/>
        <w:gridCol w:w="2251"/>
        <w:gridCol w:w="2374"/>
        <w:gridCol w:w="2344"/>
        <w:gridCol w:w="1744"/>
      </w:tblGrid>
      <w:tr>
        <w:tblPrEx/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НДС,  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58073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</w:tabs>
            </w:pPr>
            <w:r>
              <w:t xml:space="preserve">У</w:t>
            </w:r>
            <w:r>
              <w:t xml:space="preserve">тилизаци</w:t>
            </w:r>
            <w:r>
              <w:t xml:space="preserve">и отходов 3 к</w:t>
            </w:r>
            <w:r>
              <w:t xml:space="preserve">л</w:t>
            </w:r>
            <w:r>
              <w:t xml:space="preserve">. опасности (</w:t>
            </w:r>
            <w:r>
              <w:t xml:space="preserve">ветошь</w:t>
            </w:r>
            <w:r>
              <w:t xml:space="preserve">, фильтры) ПО Западные ЭС</w:t>
            </w:r>
            <w:r/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20 232,00</w:t>
            </w:r>
            <w:r/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22</w:t>
            </w:r>
            <w:r/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38.22.29.000</w:t>
            </w:r>
            <w:r/>
          </w:p>
        </w:tc>
      </w:tr>
    </w:tbl>
    <w:p>
      <w:pPr>
        <w:ind w:left="0" w:right="0" w:firstLine="450"/>
        <w:jc w:val="both"/>
        <w:tabs>
          <w:tab w:val="left" w:pos="709" w:leader="none"/>
        </w:tabs>
        <w:rPr>
          <w:b/>
          <w:bCs/>
        </w:rPr>
      </w:pPr>
      <w:r>
        <w:rPr>
          <w:b/>
          <w:bCs/>
        </w:rPr>
      </w:r>
      <w:r>
        <w:t xml:space="preserve"> Начальная (максимальная) </w:t>
      </w:r>
      <w:r>
        <w:t xml:space="preserve">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Условия оплаты. </w:t>
      </w:r>
      <w:r/>
    </w:p>
    <w:p>
      <w:pPr>
        <w:jc w:val="both"/>
        <w:tabs>
          <w:tab w:val="left" w:pos="709" w:leader="none"/>
        </w:tabs>
      </w:pPr>
      <w:r>
        <w:t xml:space="preserve">        </w:t>
      </w:r>
      <w: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 </w:t>
      </w:r>
      <w: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</w:rPr>
        <w:t xml:space="preserve">в соответствии с п.</w:t>
      </w:r>
      <w:r>
        <w:rPr>
          <w:iCs/>
        </w:rPr>
        <w:t xml:space="preserve">2.2.</w:t>
      </w:r>
      <w:r>
        <w:rPr>
          <w:iCs/>
        </w:rPr>
        <w:t xml:space="preserve"> Договора (Приложение №</w:t>
      </w:r>
      <w:r>
        <w:rPr>
          <w:iCs/>
        </w:rPr>
        <w:t xml:space="preserve"> 2</w:t>
      </w:r>
      <w:r>
        <w:rPr>
          <w:iCs/>
        </w:rPr>
        <w:t xml:space="preserve"> к настоящему ТЗ).</w:t>
      </w:r>
      <w:r>
        <w:t xml:space="preserve">.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оказанию услуг: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Услуги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Договором оказания услуг (Приложение № 2 к настоящему ТЗ),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0" w:leader="none"/>
        </w:tabs>
      </w:pPr>
      <w:r>
        <w:t xml:space="preserve">Услуги</w:t>
      </w:r>
      <w:r>
        <w:t xml:space="preserve"> должны быть выполнены с соблюдением требований, действующих РД, СП, СНиП, требованиями ПУЭ, действующим </w:t>
      </w:r>
      <w:r>
        <w:t xml:space="preserve">природоохранным </w:t>
      </w:r>
      <w:r>
        <w:t xml:space="preserve">законод</w:t>
      </w:r>
      <w:r>
        <w:t xml:space="preserve">ательством Российской Федерации, в соответствии с Лицензией по </w:t>
      </w:r>
      <w:r>
        <w:rPr>
          <w:color w:val="333333"/>
          <w:shd w:val="clear" w:color="auto" w:fill="ffffff"/>
        </w:rPr>
        <w:t xml:space="preserve">сбору, транспортированию, обработке, утилизации, обезвреживанию, размещению отходов I - IV классов опасности</w:t>
      </w:r>
      <w:r>
        <w:t xml:space="preserve">.</w:t>
      </w:r>
      <w:r/>
    </w:p>
    <w:p>
      <w:pPr>
        <w:pStyle w:val="963"/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п.5.1.4. Договора (Приложение № 2 к настоящему ТЗ)</w:t>
      </w:r>
      <w:r>
        <w:rPr>
          <w:iCs/>
          <w:highlight w:val="none"/>
        </w:rPr>
        <w:t xml:space="preserve">.</w:t>
      </w:r>
      <w:r/>
    </w:p>
    <w:p>
      <w:pPr>
        <w:jc w:val="both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9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92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93"/>
        <w:numPr>
          <w:ilvl w:val="0"/>
          <w:numId w:val="0"/>
        </w:numPr>
        <w:spacing w:before="0" w:after="0"/>
        <w:rPr>
          <w:sz w:val="20"/>
          <w:lang w:eastAsia="ja-JP"/>
        </w:rPr>
      </w:pPr>
      <w:r>
        <w:rPr>
          <w:lang w:eastAsia="ja-JP"/>
        </w:rPr>
        <w:t xml:space="preserve">2.1.</w:t>
      </w:r>
      <w:r>
        <w:rPr>
          <w:lang w:eastAsia="ja-JP"/>
        </w:rPr>
        <w:t xml:space="preserve">1.</w:t>
      </w:r>
      <w:r>
        <w:rPr>
          <w:lang w:eastAsia="ja-JP"/>
        </w:rPr>
        <w:t xml:space="preserve">Техническое</w:t>
      </w:r>
      <w:r>
        <w:rPr>
          <w:lang w:eastAsia="ja-JP"/>
        </w:rPr>
        <w:t xml:space="preserve">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</w:t>
      </w:r>
      <w:r>
        <w:t xml:space="preserve">«Техническая часть» Документации).</w:t>
      </w:r>
      <w:r>
        <w:rPr>
          <w:sz w:val="20"/>
          <w:lang w:eastAsia="ja-JP"/>
        </w:rPr>
      </w:r>
      <w:r>
        <w:rPr>
          <w:sz w:val="20"/>
          <w:lang w:eastAsia="ja-JP"/>
        </w:rPr>
      </w:r>
    </w:p>
    <w:p>
      <w:pPr>
        <w:pStyle w:val="993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2.1.2. </w:t>
      </w:r>
      <w:r>
        <w:rPr>
          <w:rFonts w:eastAsia="MS Mincho"/>
          <w:lang w:eastAsia="ja-JP"/>
        </w:rPr>
        <w:t xml:space="preserve">Иметь в составе заявки комплект документов, перечисленный в п.3 </w:t>
      </w:r>
      <w:r>
        <w:t xml:space="preserve">настоящего </w:t>
      </w:r>
      <w:r>
        <w:rPr>
          <w:rFonts w:eastAsia="MS Mincho"/>
          <w:lang w:eastAsia="ja-JP"/>
        </w:rPr>
        <w:t xml:space="preserve">ТЗ.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93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</w:pPr>
      <w:r>
        <w:rPr>
          <w:lang w:eastAsia="ar-SA"/>
        </w:rPr>
        <w:t xml:space="preserve">2.1.3. </w:t>
      </w:r>
      <w:r>
        <w:t xml:space="preserve">Участником закупки могут быть только </w:t>
      </w:r>
      <w:r>
        <w:t xml:space="preserve">субъекты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>
        <w:t xml:space="preserve">.</w:t>
      </w:r>
      <w:r/>
    </w:p>
    <w:p>
      <w:pPr>
        <w:pStyle w:val="993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  <w:rPr>
          <w:rFonts w:eastAsia="MS Mincho"/>
          <w:color w:val="000000" w:themeColor="text1"/>
        </w:rPr>
      </w:pPr>
      <w:r>
        <w:t xml:space="preserve">2.1.4. </w:t>
      </w:r>
      <w:r>
        <w:rPr>
          <w:color w:val="000000" w:themeColor="text1"/>
          <w:szCs w:val="24"/>
        </w:rPr>
        <w:t xml:space="preserve">Уч</w:t>
      </w:r>
      <w:r>
        <w:rPr>
          <w:color w:val="000000" w:themeColor="text1"/>
          <w:szCs w:val="24"/>
        </w:rPr>
        <w:t xml:space="preserve">астник закупки должен обладать действующей лицензией по сбору, транспортированию, обработке, утилизации, обезвреживанию, размещению отходов I - IV классов опасности </w:t>
      </w:r>
      <w:r>
        <w:rPr>
          <w:color w:val="000000" w:themeColor="text1"/>
          <w:szCs w:val="24"/>
        </w:rPr>
        <w:t xml:space="preserve">(</w:t>
      </w:r>
      <w:r>
        <w:rPr>
          <w:color w:val="000000" w:themeColor="text1"/>
          <w:szCs w:val="24"/>
        </w:rPr>
        <w:t xml:space="preserve">согласно</w:t>
      </w:r>
      <w:r>
        <w:rPr>
          <w:color w:val="000000" w:themeColor="text1"/>
          <w:szCs w:val="24"/>
        </w:rPr>
        <w:t xml:space="preserve"> ст.12 </w:t>
      </w:r>
      <w:r>
        <w:rPr>
          <w:color w:val="000000" w:themeColor="text1"/>
          <w:szCs w:val="24"/>
        </w:rPr>
        <w:t xml:space="preserve">Федеральн</w:t>
      </w:r>
      <w:r>
        <w:rPr>
          <w:color w:val="000000" w:themeColor="text1"/>
          <w:szCs w:val="24"/>
        </w:rPr>
        <w:t xml:space="preserve">ого</w:t>
      </w:r>
      <w:r>
        <w:rPr>
          <w:color w:val="000000" w:themeColor="text1"/>
          <w:szCs w:val="24"/>
        </w:rPr>
        <w:t xml:space="preserve"> закон</w:t>
      </w:r>
      <w:r>
        <w:rPr>
          <w:color w:val="000000" w:themeColor="text1"/>
          <w:szCs w:val="24"/>
        </w:rPr>
        <w:t xml:space="preserve">а</w:t>
      </w:r>
      <w:r>
        <w:rPr>
          <w:color w:val="000000" w:themeColor="text1"/>
          <w:szCs w:val="24"/>
        </w:rPr>
        <w:t xml:space="preserve"> от 04.05.2011 N 99-ФЗ (ред. от 25.12.2023) "О лицензировании отдельных видов деятельности"</w:t>
      </w:r>
      <w:r>
        <w:rPr>
          <w:color w:val="000000" w:themeColor="text1"/>
          <w:szCs w:val="24"/>
        </w:rPr>
        <w:t xml:space="preserve">).</w:t>
      </w:r>
      <w:r>
        <w:rPr>
          <w:rFonts w:eastAsia="MS Mincho"/>
          <w:color w:val="000000" w:themeColor="text1"/>
        </w:rPr>
      </w:r>
      <w:r>
        <w:rPr>
          <w:rFonts w:eastAsia="MS Mincho"/>
          <w:color w:val="000000" w:themeColor="text1"/>
        </w:rPr>
      </w:r>
    </w:p>
    <w:p>
      <w:pPr>
        <w:pStyle w:val="99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93"/>
        <w:numPr>
          <w:ilvl w:val="0"/>
          <w:numId w:val="0"/>
        </w:numPr>
        <w:spacing w:before="0" w:after="0"/>
        <w:tabs>
          <w:tab w:val="left" w:pos="568" w:leader="none"/>
          <w:tab w:val="left" w:pos="1701" w:leader="none"/>
        </w:tabs>
      </w:pPr>
      <w:r>
        <w:t xml:space="preserve">3.1. </w:t>
      </w:r>
      <w:r>
        <w:t xml:space="preserve">Техническое предложение, заполненное Участником по форме и в соответствии с инструкциями Приложения №</w:t>
      </w:r>
      <w:r>
        <w:t xml:space="preserve"> 3</w:t>
      </w:r>
      <w:r>
        <w:t xml:space="preserve">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</w:t>
      </w:r>
      <w:r/>
    </w:p>
    <w:p>
      <w:pPr>
        <w:pStyle w:val="993"/>
        <w:numPr>
          <w:ilvl w:val="0"/>
          <w:numId w:val="0"/>
        </w:numPr>
        <w:spacing w:before="0" w:after="0"/>
        <w:tabs>
          <w:tab w:val="left" w:pos="568" w:leader="none"/>
          <w:tab w:val="left" w:pos="1701" w:leader="none"/>
        </w:tabs>
        <w:rPr>
          <w:rFonts w:eastAsia="Calibri"/>
          <w:lang w:eastAsia="en-US"/>
        </w:rPr>
      </w:pPr>
      <w:r>
        <w:t xml:space="preserve">3.</w:t>
      </w:r>
      <w:r>
        <w:t xml:space="preserve">2</w:t>
      </w:r>
      <w:r>
        <w:t xml:space="preserve">. </w:t>
      </w:r>
      <w:r>
        <w:t xml:space="preserve">В составе ценового предложения Участник должен предоставить Приложение № 4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3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</w:t>
      </w:r>
      <w:r>
        <w:rPr>
          <w:rFonts w:eastAsia="Calibri"/>
          <w:lang w:eastAsia="en-US"/>
        </w:rPr>
        <w:t xml:space="preserve">2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1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 4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3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3.</w:t>
      </w:r>
      <w:r>
        <w:t xml:space="preserve">2</w:t>
      </w:r>
      <w:r>
        <w:t xml:space="preserve">.</w:t>
      </w:r>
      <w:r>
        <w:t xml:space="preserve">2</w:t>
      </w:r>
      <w:r>
        <w:t xml:space="preserve">. </w:t>
      </w: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3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 3.</w:t>
      </w:r>
      <w:r>
        <w:t xml:space="preserve">2</w:t>
      </w:r>
      <w:r>
        <w:t xml:space="preserve">.</w:t>
      </w:r>
      <w:r>
        <w:t xml:space="preserve">3</w:t>
      </w:r>
      <w:r>
        <w:t xml:space="preserve">.   </w:t>
      </w:r>
      <w:r>
        <w:t xml:space="preserve">Несоответствие Расчета стоимости</w:t>
      </w:r>
      <w:r>
        <w:t xml:space="preserve"> работ/ услуг</w:t>
      </w:r>
      <w: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63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8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63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3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3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81"/>
        <w:ind w:left="0" w:right="0" w:firstLine="0"/>
        <w:spacing w:after="200" w:line="276" w:lineRule="auto"/>
        <w:tabs>
          <w:tab w:val="left" w:pos="709" w:leader="none"/>
        </w:tabs>
        <w:rPr>
          <w:b/>
          <w:i/>
          <w:color w:val="0070c0"/>
          <w:szCs w:val="24"/>
        </w:rPr>
      </w:pPr>
      <w:r>
        <w:rPr>
          <w:b/>
          <w:i/>
          <w:color w:val="0070c0"/>
          <w:szCs w:val="24"/>
        </w:rPr>
      </w:r>
      <w:r>
        <w:rPr>
          <w:b/>
          <w:i/>
          <w:color w:val="0070c0"/>
          <w:szCs w:val="24"/>
        </w:rPr>
      </w:r>
      <w:r>
        <w:rPr>
          <w:b/>
          <w:i/>
          <w:color w:val="0070c0"/>
          <w:szCs w:val="24"/>
        </w:rPr>
      </w:r>
    </w:p>
    <w:p>
      <w:pPr>
        <w:pStyle w:val="96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3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0" w:name="_Toc439063132"/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Обоснование начальной (максимальной) цены договора (форма).</w:t>
      </w:r>
      <w:r/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1" w:name="_Toc8120155"/>
      <w:r>
        <w:rPr>
          <w:rStyle w:val="983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83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1"/>
      <w:r>
        <w:t xml:space="preserve">Проект договора (форма).</w:t>
      </w:r>
      <w:r>
        <w:rPr>
          <w:i/>
        </w:rPr>
        <w:t xml:space="preserve"> </w:t>
      </w:r>
      <w:bookmarkEnd w:id="0"/>
      <w:r>
        <w:rPr>
          <w:i/>
        </w:rPr>
      </w:r>
      <w:r>
        <w:rPr>
          <w:i/>
        </w:rPr>
      </w:r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3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3 (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83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</w:r>
      <w:r/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3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4 (</w:t>
      </w: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83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работ.</w:t>
      </w:r>
      <w:r/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3"/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Style w:val="983"/>
          <w:rFonts w:ascii="Times New Roman" w:hAnsi="Times New Roman" w:cs="Times New Roman"/>
          <w:color w:val="auto"/>
          <w:sz w:val="24"/>
          <w:szCs w:val="24"/>
        </w:rPr>
      </w:r>
      <w:r/>
    </w:p>
    <w:p>
      <w:pPr>
        <w:pStyle w:val="963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6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63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63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line="276" w:lineRule="auto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Ведущий </w:t>
            </w:r>
            <w:r>
              <w:rPr>
                <w:sz w:val="24"/>
                <w:szCs w:val="24"/>
                <w:highlight w:val="white"/>
              </w:rPr>
              <w:t xml:space="preserve">инженер по ООС (эколог)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УПБ</w:t>
            </w:r>
            <w:r>
              <w:rPr>
                <w:sz w:val="24"/>
                <w:szCs w:val="24"/>
                <w:highlight w:val="white"/>
              </w:rPr>
              <w:t xml:space="preserve">ОТ</w:t>
            </w:r>
            <w:r>
              <w:rPr>
                <w:sz w:val="24"/>
                <w:szCs w:val="24"/>
                <w:highlight w:val="white"/>
              </w:rPr>
              <w:t xml:space="preserve">иПК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Т.А. Кугенева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87"/>
        <w:pageBreakBefore/>
        <w:rPr>
          <w:bCs/>
        </w:rPr>
      </w:pPr>
      <w:r>
        <w:t xml:space="preserve">Приложение 1 к 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Оказание услуг по утилизации </w:t>
      </w:r>
      <w:r>
        <w:rPr>
          <w:sz w:val="28"/>
          <w:szCs w:val="28"/>
        </w:rPr>
        <w:t xml:space="preserve"> отходов 3 </w:t>
      </w:r>
      <w:r>
        <w:rPr>
          <w:sz w:val="28"/>
          <w:szCs w:val="28"/>
        </w:rPr>
        <w:t xml:space="preserve">кл</w:t>
      </w:r>
      <w:r>
        <w:rPr>
          <w:sz w:val="28"/>
          <w:szCs w:val="28"/>
        </w:rPr>
        <w:t xml:space="preserve">. опасности (ветошь, фильтры)   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Западные </w:t>
      </w:r>
      <w:r>
        <w:rPr>
          <w:sz w:val="28"/>
          <w:szCs w:val="28"/>
        </w:rPr>
        <w:t xml:space="preserve">ЭС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607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578"/>
        <w:gridCol w:w="1559"/>
        <w:gridCol w:w="1394"/>
        <w:gridCol w:w="1299"/>
        <w:gridCol w:w="1417"/>
        <w:gridCol w:w="1452"/>
        <w:gridCol w:w="941"/>
        <w:gridCol w:w="327"/>
      </w:tblGrid>
      <w:tr>
        <w:tblPrEx/>
        <w:trPr>
          <w:gridAfter w:val="3"/>
          <w:jc w:val="center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30" w:type="dxa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2" w:name="l55"/>
            <w:r>
              <w:rPr>
                <w:sz w:val="28"/>
                <w:szCs w:val="28"/>
              </w:rPr>
            </w:r>
            <w:bookmarkEnd w:id="2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717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20 232,00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</w:t>
            </w:r>
            <w:r>
              <w:rPr>
                <w:sz w:val="28"/>
                <w:szCs w:val="28"/>
              </w:rPr>
              <w:t xml:space="preserve">. (с НДС)</w:t>
            </w:r>
            <w:r>
              <w:rPr>
                <w:sz w:val="28"/>
                <w:szCs w:val="28"/>
              </w:rPr>
              <w:t xml:space="preserve">, в том числе НДС 22%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gridAfter w:val="3"/>
          <w:jc w:val="center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30" w:type="dxa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717" w:type="dxa"/>
            <w:textDirection w:val="lrTb"/>
            <w:noWrap w:val="false"/>
          </w:tcPr>
          <w:p>
            <w:pPr>
              <w:pStyle w:val="9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gridAfter w:val="3"/>
          <w:jc w:val="center"/>
          <w:trHeight w:val="1567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30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717" w:type="dxa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 ПАО «Россети» (положение о закупке)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gridAfter w:val="3"/>
          <w:jc w:val="center"/>
          <w:trHeight w:val="1138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30" w:type="dxa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717" w:type="dxa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4 к Техническому заданию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gridAfter w:val="1"/>
          <w:jc w:val="center"/>
          <w:trHeight w:val="570"/>
        </w:trPr>
        <w:tc>
          <w:tcPr>
            <w:shd w:val="clear" w:color="auto" w:fill="auto"/>
            <w:tcW w:w="25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shd w:val="clear" w:color="auto" w:fill="auto"/>
            <w:tcW w:w="806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Ценовая информация, руб. без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jc w:val="center"/>
          <w:trHeight w:val="315"/>
        </w:trPr>
        <w:tc>
          <w:tcPr>
            <w:tcW w:w="2578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95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71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3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W w:w="257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3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29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5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6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1179"/>
        </w:trPr>
        <w:tc>
          <w:tcPr>
            <w:shd w:val="clear" w:color="auto" w:fill="auto"/>
            <w:tcW w:w="2578" w:type="dxa"/>
            <w:textDirection w:val="lrTb"/>
            <w:noWrap w:val="false"/>
          </w:tcPr>
          <w:p>
            <w:pPr>
              <w:ind w:firstLine="0"/>
              <w:jc w:val="left"/>
              <w:spacing w:after="274" w:line="343" w:lineRule="atLeast"/>
              <w:shd w:val="clear" w:color="auto" w:fill="ffffff"/>
              <w:rPr>
                <w:sz w:val="28"/>
                <w:szCs w:val="28"/>
              </w:rPr>
              <w:outlineLvl w:val="1"/>
            </w:pPr>
            <w:r>
              <w:rPr>
                <w:sz w:val="24"/>
                <w:szCs w:val="24"/>
              </w:rPr>
              <w:t xml:space="preserve">Оказание услуг по утилизации </w:t>
            </w:r>
            <w:r>
              <w:rPr>
                <w:sz w:val="24"/>
                <w:szCs w:val="24"/>
              </w:rPr>
              <w:t xml:space="preserve"> отходов 3 </w:t>
            </w:r>
            <w:r>
              <w:rPr>
                <w:sz w:val="24"/>
                <w:szCs w:val="24"/>
              </w:rPr>
              <w:t xml:space="preserve">кл</w:t>
            </w:r>
            <w:r>
              <w:rPr>
                <w:sz w:val="24"/>
                <w:szCs w:val="24"/>
              </w:rPr>
              <w:t xml:space="preserve">. опасности (ветошь, фильтры)   </w:t>
            </w:r>
            <w:r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Западные </w:t>
            </w:r>
            <w:r>
              <w:rPr>
                <w:sz w:val="24"/>
                <w:szCs w:val="24"/>
              </w:rPr>
              <w:t xml:space="preserve">ЭС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851"/>
              <w:jc w:val="center"/>
              <w:spacing w:after="274" w:line="343" w:lineRule="atLeast"/>
              <w:shd w:val="clear" w:color="auto" w:fill="ffffff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20 232,00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3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29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000</w:t>
            </w:r>
            <w:r>
              <w:rPr>
                <w:sz w:val="24"/>
                <w:szCs w:val="24"/>
              </w:rPr>
              <w:t xml:space="preserve">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45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  <w:t xml:space="preserve">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775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№3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75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62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62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i/>
          <w:iCs/>
          <w:sz w:val="20"/>
          <w:szCs w:val="20"/>
          <w:highlight w:val="none"/>
        </w:rPr>
      </w:r>
      <w:r>
        <w:rPr>
          <w:b/>
          <w:i/>
          <w:iCs/>
          <w:sz w:val="20"/>
          <w:szCs w:val="20"/>
          <w:highlight w:val="non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Выше приведена форма титульного листа Технического предложения участника. 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</w:t>
      </w:r>
      <w:r>
        <w:rPr>
          <w:i/>
          <w:iCs/>
          <w:sz w:val="20"/>
          <w:szCs w:val="20"/>
          <w:highlight w:val="white"/>
        </w:rPr>
        <w:t xml:space="preserve">к закупки приводит номер и дату письма о подаче оферты, приложением к которому является данная форма.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whit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  <w:t xml:space="preserve">Участник в Техническом предложении должен подтвердить свое согласие с требованиями Технической части (технического задания)</w:t>
      </w:r>
      <w:r>
        <w:rPr>
          <w:i/>
          <w:iCs/>
          <w:sz w:val="20"/>
          <w:szCs w:val="20"/>
          <w:highlight w:val="white"/>
        </w:rPr>
        <w:t xml:space="preserve">, </w:t>
      </w:r>
      <w:r>
        <w:rPr>
          <w:i/>
          <w:iCs/>
          <w:sz w:val="20"/>
          <w:szCs w:val="20"/>
          <w:highlight w:val="white"/>
        </w:rPr>
        <w:t xml:space="preserve">Проекта</w:t>
      </w:r>
      <w:r>
        <w:rPr>
          <w:i/>
          <w:iCs/>
          <w:sz w:val="20"/>
          <w:szCs w:val="20"/>
          <w:highlight w:val="white"/>
        </w:rPr>
        <w:t xml:space="preserve"> дого</w:t>
      </w:r>
      <w:r>
        <w:rPr>
          <w:i/>
          <w:iCs/>
          <w:sz w:val="20"/>
          <w:szCs w:val="20"/>
          <w:highlight w:val="white"/>
        </w:rPr>
        <w:t xml:space="preserve">вора</w:t>
      </w:r>
      <w:r>
        <w:rPr>
          <w:i/>
          <w:iCs/>
          <w:sz w:val="20"/>
          <w:szCs w:val="20"/>
          <w:highlight w:val="white"/>
        </w:rPr>
        <w:t xml:space="preserve">.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bCs/>
          <w:i/>
          <w:iCs/>
          <w:sz w:val="20"/>
          <w:szCs w:val="20"/>
          <w:highlight w:val="white"/>
        </w:rPr>
        <w:t xml:space="preserve">Указание формулировки «В соответствии с техническим заданием заказчика», а также копирование текс</w:t>
      </w:r>
      <w:r>
        <w:rPr>
          <w:bCs/>
          <w:i/>
          <w:iCs/>
          <w:sz w:val="20"/>
          <w:szCs w:val="20"/>
          <w:highlight w:val="white"/>
        </w:rPr>
        <w:t xml:space="preserve">та технического задания не приемлемо и является нарушением порядка оформления документа.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775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4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r>
        <w:t xml:space="preserve">                                                                                                                        </w:t>
      </w:r>
      <w:r>
        <w:t xml:space="preserve">к Техническому заданию</w:t>
      </w:r>
      <w:r/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t xml:space="preserve">                            </w:t>
      </w:r>
      <w:r>
        <w:t xml:space="preserve">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pPr>
        <w:pStyle w:val="978"/>
        <w:jc w:val="center"/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0"/>
          <w:sz w:val="24"/>
          <w:szCs w:val="24"/>
          <w:highlight w:val="none"/>
        </w:rPr>
      </w:r>
    </w:p>
    <w:p>
      <w:r/>
      <w:r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583"/>
        <w:gridCol w:w="850"/>
        <w:gridCol w:w="1418"/>
        <w:gridCol w:w="1560"/>
        <w:gridCol w:w="1417"/>
        <w:gridCol w:w="1417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Ориентировочное </w:t>
            </w:r>
            <w:r>
              <w:rPr>
                <w:color w:val="000000"/>
                <w:sz w:val="20"/>
                <w:szCs w:val="20"/>
              </w:rPr>
              <w:br/>
              <w:t xml:space="preserve">кол-во за год, т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Цена   за  (1шт./ед ), руб. без НДС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Цена   за  (1шт./ед ), руб. с НДС 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Стоимость              руб. без НДС 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Стоимость              руб. с НДС 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spacing w:line="20" w:lineRule="atLeast"/>
              <w:shd w:val="clear" w:color="auto" w:fill="ffffff"/>
              <w:rPr>
                <w:sz w:val="20"/>
                <w:szCs w:val="20"/>
                <w:highlight w:val="yellow"/>
              </w:rPr>
              <w:outlineLvl w:val="1"/>
            </w:pPr>
            <w:r>
              <w:t xml:space="preserve">оказание услуг по обезвреживанию, размещению отходов 3 </w:t>
            </w:r>
            <w:r>
              <w:t xml:space="preserve">кл</w:t>
            </w:r>
            <w:r>
              <w:t xml:space="preserve">. опасности  для  </w:t>
            </w:r>
            <w:r>
              <w:t xml:space="preserve"> ПО </w:t>
            </w:r>
            <w:r>
              <w:t xml:space="preserve">З</w:t>
            </w:r>
            <w:r>
              <w:t xml:space="preserve">ЭС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песок, загрязненный нефтепродуктами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0.40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8 133,34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2 666,67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3 253,34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ветошь, загрязненная нефтепродуктами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1.00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8 133,34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8 133,34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отработанные масляные </w:t>
            </w:r>
            <w:r>
              <w:rPr>
                <w:sz w:val="20"/>
                <w:szCs w:val="20"/>
              </w:rPr>
              <w:t xml:space="preserve">автомобильныефильтры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0.10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8 133,34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666,67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813,33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транспортировка, рейс (сентябрь, декабрь)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8 </w:t>
            </w: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  <w:t xml:space="preserve">,</w:t>
            </w:r>
            <w:r>
              <w:rPr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8 </w:t>
            </w:r>
            <w:r>
              <w:rPr>
                <w:sz w:val="24"/>
                <w:szCs w:val="24"/>
                <w:highlight w:val="white"/>
              </w:rPr>
              <w:t xml:space="preserve">0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  <w:t xml:space="preserve">,</w:t>
            </w:r>
            <w:r>
              <w:rPr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bottom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16 583,61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20 232,00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pStyle w:val="9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Участника: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62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2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i/>
          <w:sz w:val="20"/>
        </w:rPr>
      </w:pPr>
      <w:r>
        <w:rPr>
          <w:i/>
          <w:sz w:val="20"/>
        </w:rPr>
        <w:t xml:space="preserve">* - столбцы заполняются Участником закупки</w:t>
      </w:r>
      <w:r>
        <w:rPr>
          <w:i/>
          <w:sz w:val="20"/>
        </w:rPr>
      </w:r>
      <w:r>
        <w:rPr>
          <w:i/>
          <w:sz w:val="20"/>
        </w:rPr>
      </w:r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962"/>
        <w:jc w:val="both"/>
      </w:pPr>
      <w:r/>
      <w:r/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775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jc w:val="center"/>
        <w:spacing w:line="276" w:lineRule="auto"/>
      </w:pPr>
      <w:r>
        <w:t xml:space="preserve">Технического задания на проведение сравнения цен в электронной форме, участниками которого могут быть только субъекты МСП на право заключения договора на </w:t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</w:rPr>
      </w:pPr>
      <w:r>
        <w:t xml:space="preserve">оказание услуг по обезвреживанию, размещению отходов 3 </w:t>
      </w:r>
      <w:r>
        <w:t xml:space="preserve">кл</w:t>
      </w:r>
      <w:r>
        <w:t xml:space="preserve">. опасности (ветоши, песка, опила, масляных фильтров) для  </w:t>
      </w:r>
      <w:r>
        <w:t xml:space="preserve"> ПО </w:t>
      </w:r>
      <w:r>
        <w:t xml:space="preserve">З</w:t>
      </w:r>
      <w:r>
        <w:t xml:space="preserve">ЭС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r>
              <w:t xml:space="preserve">Ведущий </w:t>
            </w:r>
            <w:r>
              <w:t xml:space="preserve">инженер по ООС </w:t>
            </w:r>
            <w:r>
              <w:t xml:space="preserve">УПБ</w:t>
            </w:r>
            <w:r>
              <w:t xml:space="preserve">ОТ</w:t>
            </w:r>
            <w:r>
              <w:t xml:space="preserve">иПК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r>
              <w:t xml:space="preserve"> Кугенева Т.А.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417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Заместитель главного инженера по ПБОТиПК -начальник УПБОТиПК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Губин Н.В.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775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5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rPr>
        <w:rStyle w:val="959"/>
      </w:rPr>
      <w:framePr w:wrap="around" w:vAnchor="text" w:hAnchor="margin" w:xAlign="center" w:y="1"/>
    </w:pPr>
    <w:r>
      <w:rPr>
        <w:rStyle w:val="959"/>
      </w:rPr>
      <w:fldChar w:fldCharType="begin"/>
    </w:r>
    <w:r>
      <w:rPr>
        <w:rStyle w:val="959"/>
      </w:rPr>
      <w:instrText xml:space="preserve">PAGE  </w:instrText>
    </w:r>
    <w:r>
      <w:rPr>
        <w:rStyle w:val="959"/>
      </w:rPr>
      <w:fldChar w:fldCharType="end"/>
    </w:r>
    <w:r>
      <w:rPr>
        <w:rStyle w:val="959"/>
      </w:rPr>
    </w:r>
    <w:r>
      <w:rPr>
        <w:rStyle w:val="959"/>
      </w:rPr>
    </w:r>
  </w:p>
  <w:p>
    <w:pPr>
      <w:pStyle w:val="95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styleLink w:val="994"/>
    <w:lvl w:ilvl="0">
      <w:start w:val="1"/>
      <w:numFmt w:val="decimal"/>
      <w:pStyle w:val="99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9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9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9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9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9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9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05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  <w:tabs>
          <w:tab w:val="num" w:pos="10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numStyleLink w:val="99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3"/>
  </w:num>
  <w:num w:numId="5">
    <w:abstractNumId w:val="21"/>
  </w:num>
  <w:num w:numId="6">
    <w:abstractNumId w:val="9"/>
  </w:num>
  <w:num w:numId="7">
    <w:abstractNumId w:val="11"/>
  </w:num>
  <w:num w:numId="8">
    <w:abstractNumId w:val="12"/>
  </w:num>
  <w:num w:numId="9">
    <w:abstractNumId w:val="19"/>
  </w:num>
  <w:num w:numId="10">
    <w:abstractNumId w:val="26"/>
  </w:num>
  <w:num w:numId="11">
    <w:abstractNumId w:val="1"/>
  </w:num>
  <w:num w:numId="12">
    <w:abstractNumId w:val="5"/>
  </w:num>
  <w:num w:numId="13">
    <w:abstractNumId w:val="4"/>
  </w:num>
  <w:num w:numId="14">
    <w:abstractNumId w:val="27"/>
  </w:num>
  <w:num w:numId="15">
    <w:abstractNumId w:val="7"/>
  </w:num>
  <w:num w:numId="16">
    <w:abstractNumId w:val="10"/>
  </w:num>
  <w:num w:numId="17">
    <w:abstractNumId w:val="20"/>
  </w:num>
  <w:num w:numId="18">
    <w:abstractNumId w:val="13"/>
  </w:num>
  <w:num w:numId="19">
    <w:abstractNumId w:val="8"/>
  </w:num>
  <w:num w:numId="20">
    <w:abstractNumId w:val="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"/>
  </w:num>
  <w:num w:numId="24">
    <w:abstractNumId w:val="28"/>
    <w:lvlOverride w:ilvl="0">
      <w:lvl w:ilvl="0">
        <w:start w:val="1"/>
        <w:numFmt w:val="decimal"/>
        <w:pStyle w:val="99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9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9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9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9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9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9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8"/>
    <w:lvlOverride w:ilvl="0">
      <w:startOverride w:val="1"/>
      <w:lvl w:ilvl="0">
        <w:start w:val="1"/>
        <w:numFmt w:val="decimal"/>
        <w:pStyle w:val="99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9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19"/>
  </w:num>
  <w:num w:numId="27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6"/>
  </w:num>
  <w:num w:numId="30">
    <w:abstractNumId w:val="24"/>
  </w:num>
  <w:num w:numId="31">
    <w:abstractNumId w:val="25"/>
  </w:num>
  <w:num w:numId="32">
    <w:abstractNumId w:val="22"/>
  </w:num>
  <w:num w:numId="33">
    <w:abstractNumId w:val="2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1">
    <w:name w:val="Heading 1"/>
    <w:basedOn w:val="770"/>
    <w:next w:val="770"/>
    <w:link w:val="7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983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73">
    <w:name w:val="Heading 3"/>
    <w:basedOn w:val="770"/>
    <w:next w:val="770"/>
    <w:link w:val="7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955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776">
    <w:name w:val="Heading 6"/>
    <w:basedOn w:val="770"/>
    <w:next w:val="770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956"/>
    <w:qFormat/>
    <w:pPr>
      <w:spacing w:before="240" w:after="60"/>
      <w:outlineLvl w:val="6"/>
    </w:pPr>
    <w:rPr>
      <w:rFonts w:eastAsia="SimSun"/>
    </w:rPr>
  </w:style>
  <w:style w:type="paragraph" w:styleId="778">
    <w:name w:val="Heading 8"/>
    <w:basedOn w:val="770"/>
    <w:next w:val="770"/>
    <w:link w:val="8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Heading 1 Char"/>
    <w:basedOn w:val="780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Heading 3 Char"/>
    <w:basedOn w:val="780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6 Char"/>
    <w:basedOn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7" w:customStyle="1">
    <w:name w:val="Heading 8 Char"/>
    <w:basedOn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80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Subtitle Char"/>
    <w:basedOn w:val="780"/>
    <w:uiPriority w:val="11"/>
    <w:rPr>
      <w:sz w:val="24"/>
      <w:szCs w:val="24"/>
    </w:rPr>
  </w:style>
  <w:style w:type="character" w:styleId="790" w:customStyle="1">
    <w:name w:val="Quote Char"/>
    <w:uiPriority w:val="29"/>
    <w:rPr>
      <w:i/>
    </w:rPr>
  </w:style>
  <w:style w:type="character" w:styleId="791" w:customStyle="1">
    <w:name w:val="Intense Quote Char"/>
    <w:uiPriority w:val="30"/>
    <w:rPr>
      <w:i/>
    </w:rPr>
  </w:style>
  <w:style w:type="character" w:styleId="792" w:customStyle="1">
    <w:name w:val="Footnote Text Char"/>
    <w:uiPriority w:val="99"/>
    <w:rPr>
      <w:sz w:val="18"/>
    </w:rPr>
  </w:style>
  <w:style w:type="character" w:styleId="793" w:customStyle="1">
    <w:name w:val="Endnote Text Char"/>
    <w:uiPriority w:val="99"/>
    <w:rPr>
      <w:sz w:val="20"/>
    </w:rPr>
  </w:style>
  <w:style w:type="character" w:styleId="794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Heading 2 Char"/>
    <w:basedOn w:val="780"/>
    <w:uiPriority w:val="9"/>
    <w:rPr>
      <w:rFonts w:ascii="Arial" w:hAnsi="Arial" w:eastAsia="Arial" w:cs="Arial"/>
      <w:sz w:val="34"/>
    </w:rPr>
  </w:style>
  <w:style w:type="character" w:styleId="796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Heading 5 Char"/>
    <w:basedOn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Heading 7 Char"/>
    <w:basedOn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803" w:customStyle="1">
    <w:name w:val="Title Char"/>
    <w:basedOn w:val="780"/>
    <w:uiPriority w:val="10"/>
    <w:rPr>
      <w:sz w:val="48"/>
      <w:szCs w:val="48"/>
    </w:rPr>
  </w:style>
  <w:style w:type="paragraph" w:styleId="804">
    <w:name w:val="Subtitle"/>
    <w:basedOn w:val="770"/>
    <w:next w:val="770"/>
    <w:link w:val="805"/>
    <w:uiPriority w:val="11"/>
    <w:qFormat/>
    <w:pPr>
      <w:spacing w:before="200" w:after="200"/>
    </w:pPr>
  </w:style>
  <w:style w:type="character" w:styleId="805" w:customStyle="1">
    <w:name w:val="Подзаголовок Знак"/>
    <w:basedOn w:val="780"/>
    <w:link w:val="804"/>
    <w:uiPriority w:val="11"/>
    <w:rPr>
      <w:sz w:val="24"/>
      <w:szCs w:val="24"/>
    </w:rPr>
  </w:style>
  <w:style w:type="paragraph" w:styleId="806">
    <w:name w:val="Quote"/>
    <w:basedOn w:val="770"/>
    <w:next w:val="770"/>
    <w:link w:val="807"/>
    <w:uiPriority w:val="29"/>
    <w:qFormat/>
    <w:pPr>
      <w:ind w:left="720" w:right="720"/>
    </w:pPr>
    <w:rPr>
      <w:i/>
    </w:rPr>
  </w:style>
  <w:style w:type="character" w:styleId="807" w:customStyle="1">
    <w:name w:val="Цитата 2 Знак"/>
    <w:link w:val="806"/>
    <w:uiPriority w:val="29"/>
    <w:rPr>
      <w:i/>
    </w:rPr>
  </w:style>
  <w:style w:type="paragraph" w:styleId="808">
    <w:name w:val="Intense Quote"/>
    <w:basedOn w:val="770"/>
    <w:next w:val="770"/>
    <w:link w:val="80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 w:customStyle="1">
    <w:name w:val="Выделенная цитата Знак"/>
    <w:link w:val="808"/>
    <w:uiPriority w:val="30"/>
    <w:rPr>
      <w:i/>
    </w:rPr>
  </w:style>
  <w:style w:type="character" w:styleId="810" w:customStyle="1">
    <w:name w:val="Header Char"/>
    <w:basedOn w:val="780"/>
    <w:uiPriority w:val="99"/>
  </w:style>
  <w:style w:type="character" w:styleId="811" w:customStyle="1">
    <w:name w:val="Footer Char"/>
    <w:basedOn w:val="780"/>
    <w:uiPriority w:val="99"/>
  </w:style>
  <w:style w:type="character" w:styleId="812" w:customStyle="1">
    <w:name w:val="Caption Char"/>
    <w:uiPriority w:val="99"/>
  </w:style>
  <w:style w:type="table" w:styleId="813">
    <w:name w:val="Table Grid"/>
    <w:basedOn w:val="78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14" w:customStyle="1">
    <w:name w:val="Table Grid Light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5">
    <w:name w:val="Plain Table 1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2"/>
    <w:basedOn w:val="7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3" w:customStyle="1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5" w:customStyle="1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7" w:customStyle="1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8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5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6" w:customStyle="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7" w:customStyle="1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8" w:customStyle="1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9" w:customStyle="1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0" w:customStyle="1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1" w:customStyle="1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2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3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5" w:customStyle="1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6" w:customStyle="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7" w:customStyle="1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8" w:customStyle="1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9" w:customStyle="1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0" w:customStyle="1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1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0" w:customStyle="1">
    <w:name w:val="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1" w:customStyle="1">
    <w:name w:val="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2" w:customStyle="1">
    <w:name w:val="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3" w:customStyle="1">
    <w:name w:val="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4" w:customStyle="1">
    <w:name w:val="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5" w:customStyle="1">
    <w:name w:val="Bordered &amp; 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Bordered &amp; 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7" w:customStyle="1">
    <w:name w:val="Bordered &amp; 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8" w:customStyle="1">
    <w:name w:val="Bordered &amp; 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9" w:customStyle="1">
    <w:name w:val="Bordered &amp; 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0" w:customStyle="1">
    <w:name w:val="Bordered &amp; 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1" w:customStyle="1">
    <w:name w:val="Bordered &amp; 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2" w:customStyle="1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3" w:customStyle="1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4" w:customStyle="1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5" w:customStyle="1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6" w:customStyle="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7" w:customStyle="1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8" w:customStyle="1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39">
    <w:name w:val="footnote text"/>
    <w:basedOn w:val="770"/>
    <w:link w:val="940"/>
    <w:uiPriority w:val="99"/>
    <w:semiHidden/>
    <w:unhideWhenUsed/>
    <w:pPr>
      <w:spacing w:after="40"/>
    </w:pPr>
    <w:rPr>
      <w:sz w:val="18"/>
    </w:rPr>
  </w:style>
  <w:style w:type="character" w:styleId="940" w:customStyle="1">
    <w:name w:val="Текст сноски Знак"/>
    <w:link w:val="939"/>
    <w:uiPriority w:val="99"/>
    <w:rPr>
      <w:sz w:val="18"/>
    </w:rPr>
  </w:style>
  <w:style w:type="character" w:styleId="941">
    <w:name w:val="footnote reference"/>
    <w:basedOn w:val="780"/>
    <w:uiPriority w:val="99"/>
    <w:unhideWhenUsed/>
    <w:rPr>
      <w:vertAlign w:val="superscript"/>
    </w:rPr>
  </w:style>
  <w:style w:type="paragraph" w:styleId="942">
    <w:name w:val="endnote text"/>
    <w:basedOn w:val="770"/>
    <w:link w:val="943"/>
    <w:uiPriority w:val="99"/>
    <w:semiHidden/>
    <w:unhideWhenUsed/>
    <w:rPr>
      <w:sz w:val="20"/>
    </w:rPr>
  </w:style>
  <w:style w:type="character" w:styleId="943" w:customStyle="1">
    <w:name w:val="Текст концевой сноски Знак"/>
    <w:link w:val="942"/>
    <w:uiPriority w:val="99"/>
    <w:rPr>
      <w:sz w:val="20"/>
    </w:rPr>
  </w:style>
  <w:style w:type="character" w:styleId="944">
    <w:name w:val="endnote reference"/>
    <w:basedOn w:val="780"/>
    <w:uiPriority w:val="99"/>
    <w:semiHidden/>
    <w:unhideWhenUsed/>
    <w:rPr>
      <w:vertAlign w:val="superscript"/>
    </w:rPr>
  </w:style>
  <w:style w:type="paragraph" w:styleId="945">
    <w:name w:val="toc 1"/>
    <w:basedOn w:val="770"/>
    <w:next w:val="770"/>
    <w:uiPriority w:val="39"/>
    <w:unhideWhenUsed/>
    <w:pPr>
      <w:spacing w:after="57"/>
    </w:pPr>
  </w:style>
  <w:style w:type="paragraph" w:styleId="946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47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48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49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5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5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5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53">
    <w:name w:val="TOC Heading"/>
    <w:uiPriority w:val="39"/>
    <w:unhideWhenUsed/>
  </w:style>
  <w:style w:type="paragraph" w:styleId="954">
    <w:name w:val="table of figures"/>
    <w:basedOn w:val="770"/>
    <w:next w:val="770"/>
    <w:uiPriority w:val="99"/>
    <w:unhideWhenUsed/>
  </w:style>
  <w:style w:type="character" w:styleId="955" w:customStyle="1">
    <w:name w:val="Заголовок 5 Знак"/>
    <w:basedOn w:val="780"/>
    <w:link w:val="775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56" w:customStyle="1">
    <w:name w:val="Заголовок 7 Знак"/>
    <w:basedOn w:val="780"/>
    <w:link w:val="777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7">
    <w:name w:val="Footer"/>
    <w:basedOn w:val="770"/>
    <w:link w:val="958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58" w:customStyle="1">
    <w:name w:val="Нижний колонтитул Знак"/>
    <w:basedOn w:val="780"/>
    <w:link w:val="957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59">
    <w:name w:val="page number"/>
    <w:basedOn w:val="780"/>
  </w:style>
  <w:style w:type="paragraph" w:styleId="960">
    <w:name w:val="Header"/>
    <w:basedOn w:val="770"/>
    <w:link w:val="9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1" w:customStyle="1">
    <w:name w:val="Верхний колонтитул Знак"/>
    <w:basedOn w:val="780"/>
    <w:link w:val="96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No Spacing"/>
    <w:link w:val="1000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>
    <w:name w:val="List Paragraph"/>
    <w:basedOn w:val="770"/>
    <w:link w:val="990"/>
    <w:uiPriority w:val="34"/>
    <w:qFormat/>
    <w:pPr>
      <w:contextualSpacing/>
      <w:ind w:left="720"/>
    </w:pPr>
  </w:style>
  <w:style w:type="paragraph" w:styleId="964">
    <w:name w:val="Balloon Text"/>
    <w:basedOn w:val="770"/>
    <w:link w:val="96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65" w:customStyle="1">
    <w:name w:val="Текст выноски Знак"/>
    <w:basedOn w:val="780"/>
    <w:link w:val="96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66">
    <w:name w:val="Hyperlink"/>
    <w:uiPriority w:val="99"/>
    <w:rPr>
      <w:color w:val="0000ff"/>
      <w:u w:val="single"/>
    </w:rPr>
  </w:style>
  <w:style w:type="paragraph" w:styleId="967">
    <w:name w:val="Caption"/>
    <w:basedOn w:val="770"/>
    <w:next w:val="770"/>
    <w:link w:val="812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68">
    <w:name w:val="FollowedHyperlink"/>
    <w:basedOn w:val="780"/>
    <w:uiPriority w:val="99"/>
    <w:semiHidden/>
    <w:unhideWhenUsed/>
    <w:rPr>
      <w:color w:val="954f72" w:themeColor="followedHyperlink"/>
      <w:u w:val="single"/>
    </w:rPr>
  </w:style>
  <w:style w:type="paragraph" w:styleId="969">
    <w:name w:val="Body Text Indent"/>
    <w:basedOn w:val="770"/>
    <w:link w:val="970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70" w:customStyle="1">
    <w:name w:val="Основной текст с отступом Знак"/>
    <w:basedOn w:val="780"/>
    <w:link w:val="969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71" w:customStyle="1">
    <w:name w:val="Подпункт"/>
    <w:basedOn w:val="770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72" w:customStyle="1">
    <w:name w:val="Таблица шапка"/>
    <w:basedOn w:val="770"/>
    <w:pPr>
      <w:ind w:left="57" w:right="57"/>
      <w:keepNext/>
      <w:spacing w:before="40" w:after="40"/>
    </w:pPr>
    <w:rPr>
      <w:sz w:val="22"/>
      <w:szCs w:val="20"/>
    </w:rPr>
  </w:style>
  <w:style w:type="paragraph" w:styleId="973" w:customStyle="1">
    <w:name w:val="Таблица текст"/>
    <w:basedOn w:val="770"/>
    <w:pPr>
      <w:ind w:left="57" w:right="57"/>
      <w:spacing w:before="40" w:after="40"/>
    </w:pPr>
    <w:rPr>
      <w:szCs w:val="20"/>
    </w:rPr>
  </w:style>
  <w:style w:type="paragraph" w:styleId="974" w:customStyle="1">
    <w:name w:val="Times 12"/>
    <w:basedOn w:val="770"/>
    <w:pPr>
      <w:ind w:firstLine="567"/>
      <w:jc w:val="both"/>
    </w:pPr>
    <w:rPr>
      <w:szCs w:val="20"/>
      <w:lang w:eastAsia="ar-SA"/>
    </w:rPr>
  </w:style>
  <w:style w:type="paragraph" w:styleId="975" w:customStyle="1">
    <w:name w:val="StGen0"/>
    <w:basedOn w:val="770"/>
    <w:next w:val="978"/>
    <w:link w:val="976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76" w:customStyle="1">
    <w:name w:val="Название Знак"/>
    <w:link w:val="975"/>
    <w:rPr>
      <w:rFonts w:eastAsia="MS Mincho"/>
      <w:b/>
      <w:sz w:val="28"/>
      <w:lang w:val="ru-RU" w:eastAsia="ru-RU" w:bidi="ar-SA"/>
    </w:rPr>
  </w:style>
  <w:style w:type="paragraph" w:styleId="977" w:customStyle="1">
    <w:name w:val="Пункт б/н"/>
    <w:basedOn w:val="770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78">
    <w:name w:val="Title"/>
    <w:basedOn w:val="770"/>
    <w:next w:val="770"/>
    <w:link w:val="979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79" w:customStyle="1">
    <w:name w:val="Заголовок Знак"/>
    <w:basedOn w:val="780"/>
    <w:link w:val="978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80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1" w:customStyle="1">
    <w:name w:val="Абзац списка1"/>
    <w:basedOn w:val="770"/>
    <w:link w:val="98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82" w:customStyle="1">
    <w:name w:val="List Paragraph Char"/>
    <w:link w:val="981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83" w:customStyle="1">
    <w:name w:val="Заголовок 2 Знак"/>
    <w:basedOn w:val="780"/>
    <w:link w:val="77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84" w:customStyle="1">
    <w:name w:val="StGen1"/>
    <w:basedOn w:val="770"/>
    <w:next w:val="978"/>
    <w:qFormat/>
    <w:pPr>
      <w:jc w:val="center"/>
    </w:pPr>
    <w:rPr>
      <w:b/>
      <w:sz w:val="28"/>
      <w:szCs w:val="20"/>
    </w:rPr>
  </w:style>
  <w:style w:type="character" w:styleId="985">
    <w:name w:val="annotation reference"/>
    <w:basedOn w:val="780"/>
    <w:uiPriority w:val="99"/>
    <w:unhideWhenUsed/>
    <w:rPr>
      <w:sz w:val="16"/>
      <w:szCs w:val="16"/>
    </w:rPr>
  </w:style>
  <w:style w:type="paragraph" w:styleId="986">
    <w:name w:val="annotation text"/>
    <w:basedOn w:val="770"/>
    <w:link w:val="987"/>
    <w:uiPriority w:val="99"/>
    <w:unhideWhenUsed/>
    <w:rPr>
      <w:sz w:val="20"/>
      <w:szCs w:val="20"/>
    </w:rPr>
  </w:style>
  <w:style w:type="character" w:styleId="987" w:customStyle="1">
    <w:name w:val="Текст примечания Знак"/>
    <w:basedOn w:val="780"/>
    <w:link w:val="98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>
    <w:name w:val="annotation subject"/>
    <w:basedOn w:val="986"/>
    <w:next w:val="986"/>
    <w:link w:val="989"/>
    <w:uiPriority w:val="99"/>
    <w:semiHidden/>
    <w:unhideWhenUsed/>
    <w:rPr>
      <w:b/>
      <w:bCs/>
    </w:rPr>
  </w:style>
  <w:style w:type="character" w:styleId="989" w:customStyle="1">
    <w:name w:val="Тема примечания Знак"/>
    <w:basedOn w:val="987"/>
    <w:link w:val="98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0" w:customStyle="1">
    <w:name w:val="Абзац списка Знак"/>
    <w:basedOn w:val="780"/>
    <w:link w:val="96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92" w:customStyle="1">
    <w:name w:val="2-з"/>
    <w:basedOn w:val="770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93" w:customStyle="1">
    <w:name w:val="3-з"/>
    <w:link w:val="999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94" w:customStyle="1">
    <w:name w:val="нумерация"/>
    <w:uiPriority w:val="99"/>
    <w:pPr>
      <w:numPr>
        <w:ilvl w:val="0"/>
        <w:numId w:val="23"/>
      </w:numPr>
    </w:pPr>
  </w:style>
  <w:style w:type="paragraph" w:styleId="995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6" w:customStyle="1">
    <w:name w:val="5-з"/>
    <w:basedOn w:val="770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97" w:customStyle="1">
    <w:name w:val="6-буквы"/>
    <w:basedOn w:val="770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98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99" w:customStyle="1">
    <w:name w:val="3-з Знак"/>
    <w:basedOn w:val="780"/>
    <w:link w:val="99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00" w:customStyle="1">
    <w:name w:val="Без интервала Знак"/>
    <w:link w:val="96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1">
    <w:name w:val="toc 6"/>
    <w:basedOn w:val="770"/>
    <w:next w:val="770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100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03">
    <w:name w:val="Body Text Indent 3"/>
    <w:basedOn w:val="770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basedOn w:val="780"/>
    <w:link w:val="1003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5">
    <w:name w:val="Normal (Web)"/>
    <w:basedOn w:val="770"/>
    <w:pPr>
      <w:numPr>
        <w:ilvl w:val="1"/>
        <w:numId w:val="27"/>
      </w:numPr>
      <w:spacing w:before="100" w:beforeAutospacing="1" w:after="100" w:afterAutospacing="1"/>
    </w:pPr>
    <w:rPr>
      <w:rFonts w:eastAsia="Arial Unicode MS"/>
      <w:color w:val="000000"/>
      <w:sz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7E57A-DE68-43BF-92D0-5AB083B3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Kugeneva-TA</cp:lastModifiedBy>
  <cp:revision>35</cp:revision>
  <dcterms:created xsi:type="dcterms:W3CDTF">2024-03-28T04:21:00Z</dcterms:created>
  <dcterms:modified xsi:type="dcterms:W3CDTF">2026-07-21T05:39:35Z</dcterms:modified>
</cp:coreProperties>
</file>